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88" w:type="dxa"/>
        <w:tblCellSpacing w:w="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88"/>
      </w:tblGrid>
      <w:tr w:rsidR="00FB3DEC" w:rsidRPr="00FB3DEC" w14:paraId="09104C41" w14:textId="77777777" w:rsidTr="00FB3DEC">
        <w:trPr>
          <w:tblCellSpacing w:w="0" w:type="dxa"/>
        </w:trPr>
        <w:tc>
          <w:tcPr>
            <w:tcW w:w="7188" w:type="dxa"/>
            <w:shd w:val="clear" w:color="auto" w:fill="FFFFFF"/>
            <w:vAlign w:val="center"/>
            <w:hideMark/>
          </w:tcPr>
          <w:p w14:paraId="0D470106" w14:textId="77777777" w:rsidR="00FB3DEC" w:rsidRPr="00FB3DEC" w:rsidRDefault="006B00BB" w:rsidP="00FB3DEC">
            <w:pPr>
              <w:spacing w:before="180" w:after="18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pict w14:anchorId="2B3BDCCB">
                <v:rect id="_x0000_i1025" style="width:468pt;height:.75pt" o:hralign="center" o:hrstd="t" o:hrnoshade="t" o:hr="t" fillcolor="#ccc" stroked="f"/>
              </w:pict>
            </w:r>
          </w:p>
          <w:p w14:paraId="77FEF00F" w14:textId="77777777" w:rsidR="00FB3DEC" w:rsidRPr="00FB3DEC" w:rsidRDefault="00FB3DEC" w:rsidP="00FB3DEC">
            <w:pPr>
              <w:spacing w:after="18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</w:rPr>
              <w:t>General Faculty Council</w:t>
            </w:r>
          </w:p>
          <w:p w14:paraId="0A4C6816" w14:textId="77777777" w:rsidR="00FB3DEC" w:rsidRPr="00FB3DEC" w:rsidRDefault="00FB3DEC" w:rsidP="00FB3DEC">
            <w:pPr>
              <w:spacing w:after="18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</w:rPr>
              <w:t>Agenda</w:t>
            </w: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>Wednesday, March 8, 2017</w:t>
            </w: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>12:00 noon - 1:30 pm</w:t>
            </w:r>
            <w:r w:rsidRPr="00FB3DEC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</w:rPr>
              <w:t> Alderman Library Room 317, located on the 3rd floor Alderman Library</w:t>
            </w:r>
          </w:p>
          <w:p w14:paraId="3041D88E" w14:textId="77777777" w:rsidR="00D3246B" w:rsidRDefault="00FB3DE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1. Call to Order - John Alexander</w:t>
            </w: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>2. Round-robin introductions</w:t>
            </w:r>
            <w:r w:rsidR="008C712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– John Alexander, </w:t>
            </w:r>
            <w:r w:rsidR="00D3246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Stuart Berr, Maksim Bychkov, Ben Doherty, John Gaskins, Meredith Hayden, Kyle Haynes, Joanne Lannigan, Candace Lutzow-Felling, Gabrielle, “Posy’ Marzani, Edward Murphy, Kate Neff,</w:t>
            </w:r>
            <w:r w:rsidR="00D3246B"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  <w:r w:rsidR="008C712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Esther Poveda, </w:t>
            </w:r>
            <w:r w:rsidR="00D3246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Sarah Ware, </w:t>
            </w:r>
            <w:r w:rsidR="00CE3F1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Diane Whaley</w:t>
            </w:r>
          </w:p>
          <w:p w14:paraId="691D7AC7" w14:textId="77777777" w:rsidR="00FB3DEC" w:rsidRDefault="00CE3F10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FB3DEC"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>3. Approval of minutes</w:t>
            </w:r>
            <w:r w:rsidR="00D3246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– Minutes were not introduced for approval.</w:t>
            </w:r>
            <w:r w:rsidR="00FB3DEC"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  <w:r w:rsidR="00FB3DEC"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>4. Open Discussion of Draft Report on Impact of New NTTF Policies</w:t>
            </w:r>
          </w:p>
          <w:p w14:paraId="2AFC112A" w14:textId="77777777" w:rsidR="00A82DBB" w:rsidRDefault="00D3246B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GFC Policy Committee sent an email to NTTF requesting </w:t>
            </w:r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examples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of problems arising from the new policies. Comments sent to the </w:t>
            </w:r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Policy Committee were compiled into the document “Feedback on New NTTF Policies” (see attached). </w:t>
            </w:r>
            <w:r w:rsidR="00CE3F1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Sarah prepared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</w:t>
            </w:r>
            <w:r w:rsidR="00CE3F1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summary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of the comments</w:t>
            </w:r>
            <w:r w:rsidR="00CE3F1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to identify themes and recurring problems, as well as pose solutions</w:t>
            </w:r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(see “March 2017 Comments Summary w Notes,” attached)</w:t>
            </w:r>
            <w:r w:rsidR="00CE3F1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. </w:t>
            </w:r>
          </w:p>
          <w:p w14:paraId="232B4F2D" w14:textId="77777777" w:rsidR="00E4554C" w:rsidRDefault="00CE3F10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Esther </w:t>
            </w:r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elaborated on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her comme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nt on the three-year contract: Professors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who have 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served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three consecutive one-year contracts in multiple departments have been notified that they will not 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receive a new three-year appointment due to lack of funds for the pay raise associated with the new three-year appointment.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  <w:t xml:space="preserve"> </w:t>
            </w:r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(Nonrenewal is based on Provost’s policy “Employment of Academic General Faculty Members (Tenure-Ineligible),” II and III C. “Initial Appointment Term.” </w:t>
            </w:r>
            <w:hyperlink r:id="rId6" w:anchor="Initial_Appointment_Term" w:history="1">
              <w:r w:rsidR="00A82DBB" w:rsidRPr="00F41804">
                <w:rPr>
                  <w:rStyle w:val="Hyperlink"/>
                  <w:rFonts w:ascii="Verdana" w:eastAsia="Times New Roman" w:hAnsi="Verdana" w:cs="Times New Roman"/>
                  <w:sz w:val="17"/>
                  <w:szCs w:val="17"/>
                </w:rPr>
                <w:t>http://uvapolicy.virginia.edu/policy/PROV-004#Initial_Appointment_Term</w:t>
              </w:r>
            </w:hyperlink>
            <w:r w:rsidR="00A82DBB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)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For example, in Spanish, 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faculty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whose contracts have not been renewed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are teaching courses that will continue to be offered, and are also doing coordinating work for the dept.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; t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hey are attending conferences outside UVA, and are doing leadership work in the teaching of Spanish.</w:t>
            </w:r>
            <w:r w:rsidR="00E4554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They’ve received excellent evaluations and the work that they do is still needed by the department. </w:t>
            </w:r>
          </w:p>
          <w:p w14:paraId="4F893FCC" w14:textId="77777777" w:rsidR="00750ADB" w:rsidRDefault="00750ADB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This was an unintended consequence of the three-year policy.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After some discussion about alternative policies, it was decided that Sarah will add a recommendation to her “Comments Summary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that an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yone who has had a three one-year contracts be </w:t>
            </w:r>
            <w:r w:rsidR="0031599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granted three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more,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and that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an expedited time frame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be created for granting exceptions to the overall policy on NTTF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</w:p>
          <w:p w14:paraId="5F6155C4" w14:textId="77777777" w:rsidR="00750ADB" w:rsidRDefault="00750ADB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Esther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noted that the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long-term problem is that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university has these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one-year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positions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carrying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expectation of a lower-salary, which creates instability, the opposite of the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intention behind the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NTTF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policy.</w:t>
            </w:r>
          </w:p>
          <w:p w14:paraId="3424262E" w14:textId="77777777" w:rsidR="0032407C" w:rsidRDefault="00D37501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It was decided that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Sarah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will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ask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the P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rovost to prohibit permanent one-year positions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, there should be no c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ontinuous position/continuous need that is constantly staffed by one-year contracts.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It was mentioned that there can be a need for a permanent substitute position in a department, but that should </w:t>
            </w:r>
            <w:r w:rsidR="0031599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be created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as a permanent flex position.</w:t>
            </w:r>
          </w:p>
          <w:p w14:paraId="69D994B7" w14:textId="77777777" w:rsidR="0032407C" w:rsidRDefault="0032407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Esther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stressed that we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need to make clear that the same policy can have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lastRenderedPageBreak/>
              <w:t xml:space="preserve">different effects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on diff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erent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D37501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departments and in different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scenarios.</w:t>
            </w:r>
          </w:p>
          <w:p w14:paraId="5B2B20CC" w14:textId="01BF30FA" w:rsidR="0032407C" w:rsidRDefault="00D37501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It was decided that Sarah would revise her comments Summary in advance of a m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eeting with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Provost’s O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ffice on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arch 17.</w:t>
            </w:r>
          </w:p>
          <w:p w14:paraId="209616AA" w14:textId="1C2EF28E" w:rsidR="000D0F12" w:rsidRDefault="0060257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Kyle discussed the example of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Blandy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Experimental Farm, whose research faculty also hold positions in the Department of Environmental Sciences Department.</w:t>
            </w:r>
            <w:r w:rsidR="0031599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NTTF are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being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held to a higher standard th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n tenure-track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faculty, thanks to the Arts and Sciences interpretation of the Provost’s policy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(A&amp;S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draft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policy p. 7—see below--is more stringent than the Provost’s policy, and the standards are higher for general faculty than for tenure track.)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If tenure track </w:t>
            </w:r>
            <w:proofErr w:type="gramStart"/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fac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ulty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7B1F6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are</w:t>
            </w:r>
            <w:proofErr w:type="gramEnd"/>
            <w:r w:rsidR="007B1F6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rated as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“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good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” in their annual performance evaluations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, there will be remedial actions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 They won’t be fired, but be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moved into teaching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or elsewhere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. NTTF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must receive an evaluation of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“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very good.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” 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On the other hand, according to the draft policy, if no-tenure track </w:t>
            </w:r>
            <w:proofErr w:type="gramStart"/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faculty  are</w:t>
            </w:r>
            <w:proofErr w:type="gramEnd"/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rated as “good” in their annual performance evaluations, they will not be renewed.</w:t>
            </w:r>
          </w:p>
          <w:p w14:paraId="38F04875" w14:textId="77777777" w:rsidR="0032407C" w:rsidRDefault="0032407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This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discrepancy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will affect recruitment and retention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of NTTF faculty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</w:t>
            </w:r>
          </w:p>
          <w:p w14:paraId="75187C07" w14:textId="501BF372" w:rsidR="0032407C" w:rsidRDefault="0032407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Candace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noted that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if 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standard for NTTF is very good or excellent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, that r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eally exceeds expectations, 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an</w:t>
            </w:r>
            <w:r w:rsidR="004B22F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doesn’t reflect job descriptions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or match well with the current performance evaluation system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 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atisfactory/Unsatisfactory/Excellent would be a more realistic standard</w:t>
            </w:r>
          </w:p>
          <w:p w14:paraId="475B1C57" w14:textId="77777777" w:rsidR="0032407C" w:rsidRDefault="0060257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Spanish D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ep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ar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ment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was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also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told “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on’t go u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p </w:t>
            </w:r>
            <w:r w:rsidR="003240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for ECE: you need a review of excellent!” ECE will go away after this policy, but people hired before it, need to know how to proceed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</w:t>
            </w:r>
          </w:p>
          <w:p w14:paraId="0D5B22EE" w14:textId="77777777" w:rsidR="000030E2" w:rsidRDefault="000030E2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Sarah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will add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 paragraph 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to her “comments Summary”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making it clear that wording in the Provost’s policy, intending to reinstate the protections of ECE, are being used by schools in ways that destroy ECE. There are misunderstanding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 in ways that the P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rovost’s p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licies are being implemented. </w:t>
            </w:r>
          </w:p>
          <w:p w14:paraId="7C57B875" w14:textId="77777777" w:rsidR="000030E2" w:rsidRDefault="000030E2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Posy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emphasized that this example shows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why we need to see all the</w:t>
            </w:r>
            <w:r w:rsidR="000D0F12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school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policies; to see if there are misunder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tandings and inconsistencies/problems.</w:t>
            </w:r>
          </w:p>
          <w:p w14:paraId="4C4C62F4" w14:textId="77777777" w:rsidR="00D47D90" w:rsidRDefault="0051543B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Ben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suggested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specific changes to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Sarah’s 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summary that would better reflect law library’s position. Law librarians are fighting to be included in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the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general fac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ulty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academic policy</w:t>
            </w:r>
            <w:r w:rsidR="0060257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. </w:t>
            </w:r>
            <w:r w:rsidR="0060257C" w:rsidRP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(In </w:t>
            </w:r>
            <w:r w:rsidR="0060257C" w:rsidRPr="008A173C">
              <w:rPr>
                <w:rFonts w:ascii="Verdana" w:hAnsi="Verdana" w:cs="Arial"/>
                <w:color w:val="000000"/>
                <w:sz w:val="17"/>
                <w:szCs w:val="17"/>
              </w:rPr>
              <w:t>January, Dean Goluboff stated that all future hires of librarians at the law school would be as University Staff</w:t>
            </w:r>
            <w:r w:rsidR="008A173C" w:rsidRPr="008A173C">
              <w:rPr>
                <w:rFonts w:ascii="Verdana" w:hAnsi="Verdana" w:cs="Arial"/>
                <w:color w:val="000000"/>
                <w:sz w:val="17"/>
                <w:szCs w:val="17"/>
              </w:rPr>
              <w:t>.)</w:t>
            </w:r>
            <w:r w:rsidR="008A173C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But the Provost’s p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olicy is being applied inconsistently: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for 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ex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ample, the University Library—administratively separate from the Law Library--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is hiring their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Head of Special Collections 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as academic general faculty. Most law librarians will be doing more teaching and research than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Head of Special Collections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will be. And general faculty in the School of Continuing and Professional Studies have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been permitted to have 25%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of their work devoted to 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teaching</w:t>
            </w:r>
            <w:r w:rsidR="0011782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while retaining the position of teaching faculty with academic rank</w:t>
            </w:r>
            <w:r w:rsidR="00D47D90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!</w:t>
            </w:r>
          </w:p>
          <w:p w14:paraId="297D0D9F" w14:textId="77777777" w:rsidR="008A173C" w:rsidRDefault="008A173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Ben proposed the following revisions to Sarah’s “Comment Summary:”</w:t>
            </w:r>
          </w:p>
          <w:p w14:paraId="3D806494" w14:textId="77777777" w:rsidR="00D47D90" w:rsidRDefault="00D47D90" w:rsidP="00D47D90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Under tracking system: “we recognize that a b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l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an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ce…” “Schools bending and even break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ing categories…” Add sentence “D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ifferent schools are going to apply policies in different ways.” Ben thinks inconsistency is actually hurting law librarians.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</w:p>
          <w:p w14:paraId="019F571D" w14:textId="5B574FA7" w:rsidR="00D47D90" w:rsidRDefault="00D47D90" w:rsidP="008A173C">
            <w:pPr>
              <w:pStyle w:val="ListParagraph"/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Posy</w:t>
            </w:r>
            <w:r w:rsidR="0011782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suggested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“A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n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exception would be </w:t>
            </w:r>
            <w:r w:rsidR="0011782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libraries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throughout the schools who have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hired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librarians…” 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Law L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ibrary would be one exception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 Physicians in Student Health should be treated similarly.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</w:p>
          <w:p w14:paraId="58DDA2BD" w14:textId="77777777" w:rsidR="008771C9" w:rsidRDefault="008A173C" w:rsidP="008771C9">
            <w:pPr>
              <w:pStyle w:val="ListParagraph"/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lastRenderedPageBreak/>
              <w:t xml:space="preserve">It was noted that the School of 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Health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ciences has positions that don’t fit the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established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tracks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of teaching, research, and practice. Do the t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racks apply to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S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chool of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</w:t>
            </w:r>
            <w:r w:rsidR="008771C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edicine?</w:t>
            </w:r>
          </w:p>
          <w:p w14:paraId="49B91722" w14:textId="77777777" w:rsidR="002C76CA" w:rsidRDefault="002C76CA" w:rsidP="008771C9">
            <w:pPr>
              <w:pStyle w:val="ListParagraph"/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</w:p>
          <w:p w14:paraId="5CB95CED" w14:textId="77777777" w:rsidR="002C76CA" w:rsidRDefault="008A173C" w:rsidP="002C76CA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Diane stated that the </w:t>
            </w:r>
            <w:r w:rsidR="002C76C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GFC should make a statement that physicians and librarians should be faculty regardless of school or unit to which they report.</w:t>
            </w:r>
          </w:p>
          <w:p w14:paraId="4E2EC750" w14:textId="77777777" w:rsidR="00FE3784" w:rsidRPr="008A173C" w:rsidRDefault="00FE3784" w:rsidP="008A173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“A number of other groups do not fit easily…research librarians who teach” amend to “law school librarians who teach.”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</w:p>
          <w:p w14:paraId="73A13262" w14:textId="77777777" w:rsidR="001A7C62" w:rsidRPr="008A173C" w:rsidRDefault="001A7C62" w:rsidP="008A173C">
            <w:pPr>
              <w:pStyle w:val="ListParagraph"/>
              <w:numPr>
                <w:ilvl w:val="0"/>
                <w:numId w:val="2"/>
              </w:num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“These faculty and other similar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…</w:t>
            </w:r>
            <w:r w:rsidRP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” add “or excluded from the ranks of faculty.”</w:t>
            </w:r>
          </w:p>
          <w:p w14:paraId="0A16D024" w14:textId="3117ACAC" w:rsidR="008C5E12" w:rsidRDefault="008C5E12" w:rsidP="002C76CA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None of the departmental policies have been approved. We need the provost to </w:t>
            </w:r>
            <w:r w:rsidR="0011782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have the GFC and General Faculty Policy Committee review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these </w:t>
            </w:r>
            <w:r w:rsidR="0011782D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school based policies in draft form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so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they can catch the inconsistencies and address them.</w:t>
            </w:r>
          </w:p>
          <w:p w14:paraId="283BB658" w14:textId="77777777" w:rsidR="00816054" w:rsidRPr="002C76CA" w:rsidRDefault="00816054" w:rsidP="002C76CA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next draft of Sarah’s summary will be circulated.</w:t>
            </w:r>
          </w:p>
          <w:p w14:paraId="15CF0977" w14:textId="77777777" w:rsidR="00FB3DEC" w:rsidRPr="00FB3DEC" w:rsidRDefault="00FB3DEC" w:rsidP="00FB3DEC">
            <w:pPr>
              <w:spacing w:after="18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</w:rPr>
              <w:t>Regular Reports</w:t>
            </w:r>
          </w:p>
          <w:p w14:paraId="42AAD640" w14:textId="77777777" w:rsidR="00FB3DEC" w:rsidRDefault="00FB3DEC" w:rsidP="00FB3DEC">
            <w:pPr>
              <w:spacing w:after="10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• Elections - Ed Murphy / Sarah Wells</w:t>
            </w:r>
            <w:r w:rsidR="00816054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–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Michael Slon sent an email to all general faculty members. The </w:t>
            </w:r>
            <w:r w:rsidR="00816054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only rep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resentative</w:t>
            </w:r>
            <w:r w:rsidR="00816054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area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for which </w:t>
            </w:r>
            <w:r w:rsidR="00816054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we don’t have a candidate for is A&amp;S. We need a candidate from A&amp;S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, and we also</w:t>
            </w:r>
            <w:r w:rsidR="00816054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need bylaws updates to go on the ballot.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Ed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is 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still working on getting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software set up. Question came u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p of where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Student H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ealth falls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 S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tudent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Health falls under S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tudents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ffairs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 Many years ago we eliminated S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tudents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Affa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r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s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as a separate category for representation and 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rolled it into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dministration. Are student health prof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essionals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better represented under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dmin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istration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or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H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ealth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P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rofessionals? We have left it under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Administration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this year. That means someone from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Student H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ealth couldn’t stand for election unles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 they hold a joint appointment</w:t>
            </w:r>
            <w:r w:rsidR="00C408F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.</w:t>
            </w:r>
          </w:p>
          <w:p w14:paraId="2EEA1BAF" w14:textId="2FAAEB4E" w:rsidR="00C408F9" w:rsidRPr="00FB3DEC" w:rsidRDefault="00C408F9" w:rsidP="00FB3DEC">
            <w:pPr>
              <w:spacing w:after="10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We </w:t>
            </w:r>
            <w:r w:rsidR="00FA4158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could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change the bylaws to give them their own seat. They are a very small unit. We eliminated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S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tudent 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A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ffairs b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ecause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number of fac</w:t>
            </w:r>
            <w:r w:rsidR="008A173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ulty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was small and we couldn’t get anyone to run. </w:t>
            </w:r>
          </w:p>
          <w:p w14:paraId="6634D885" w14:textId="77777777" w:rsidR="00FB3DEC" w:rsidRPr="00FB3DEC" w:rsidRDefault="00FB3DEC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6. Discussion:</w:t>
            </w:r>
            <w:r w:rsidR="0031599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br/>
            </w:r>
          </w:p>
          <w:p w14:paraId="14635F41" w14:textId="052EC2EF" w:rsidR="00FB3DEC" w:rsidRDefault="00FB3DEC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• Planning for Presidential Search</w:t>
            </w:r>
            <w:r w:rsidR="0067321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—</w:t>
            </w:r>
            <w:r w:rsidR="0031599A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</w:t>
            </w:r>
            <w:r w:rsidR="00FA4158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The Presidential Search Committee has two people designated to do outreach. </w:t>
            </w:r>
            <w:bookmarkStart w:id="0" w:name="_GoBack"/>
            <w:bookmarkEnd w:id="0"/>
            <w:r w:rsidR="00FA4158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GFC will invite them to join us at our next meeting.</w:t>
            </w:r>
          </w:p>
          <w:p w14:paraId="4349FA88" w14:textId="77777777" w:rsidR="00673219" w:rsidRDefault="00673219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</w:p>
          <w:p w14:paraId="081D1CE9" w14:textId="6DF90305" w:rsidR="00673219" w:rsidRDefault="00FA4158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It was noted that </w:t>
            </w:r>
            <w:r w:rsidR="0067321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Mimi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Riley, Chair of the Faculty Senate, is a general faculty member and is</w:t>
            </w:r>
            <w:r w:rsidR="0067321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 xml:space="preserve"> on </w:t>
            </w: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the Presidential Search C</w:t>
            </w:r>
            <w:r w:rsidR="00673219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t>ommittee</w:t>
            </w:r>
          </w:p>
          <w:p w14:paraId="5FEAC087" w14:textId="77777777" w:rsidR="00673219" w:rsidRPr="00FB3DEC" w:rsidRDefault="00673219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</w:p>
          <w:p w14:paraId="4BE8E97D" w14:textId="77777777" w:rsidR="00FB3DEC" w:rsidRPr="00FB3DEC" w:rsidRDefault="00FB3DEC" w:rsidP="00FB3DEC">
            <w:pPr>
              <w:spacing w:after="18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i/>
                <w:iCs/>
                <w:color w:val="111111"/>
                <w:sz w:val="17"/>
                <w:szCs w:val="17"/>
              </w:rPr>
              <w:t>Meeting adjourns.</w:t>
            </w:r>
          </w:p>
          <w:p w14:paraId="41523036" w14:textId="77777777" w:rsidR="00FB3DEC" w:rsidRPr="00FB3DEC" w:rsidRDefault="00FB3DEC" w:rsidP="00FB3DEC">
            <w:pPr>
              <w:spacing w:after="24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</w:p>
        </w:tc>
      </w:tr>
      <w:tr w:rsidR="00FB3DEC" w:rsidRPr="00FB3DEC" w14:paraId="231863AE" w14:textId="77777777" w:rsidTr="00FB3DE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4A1BC6" w14:textId="77777777" w:rsidR="00FB3DEC" w:rsidRPr="00FB3DEC" w:rsidRDefault="00FB3DEC" w:rsidP="00FB3DEC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</w:pPr>
            <w:r w:rsidRPr="00FB3DEC">
              <w:rPr>
                <w:rFonts w:ascii="Verdana" w:eastAsia="Times New Roman" w:hAnsi="Verdana" w:cs="Times New Roman"/>
                <w:color w:val="111111"/>
                <w:sz w:val="17"/>
                <w:szCs w:val="17"/>
              </w:rPr>
              <w:lastRenderedPageBreak/>
              <w:t> </w:t>
            </w:r>
          </w:p>
        </w:tc>
      </w:tr>
    </w:tbl>
    <w:p w14:paraId="79B4E180" w14:textId="77777777" w:rsidR="00215DB1" w:rsidRDefault="00215DB1"/>
    <w:sectPr w:rsidR="0021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91E"/>
    <w:multiLevelType w:val="multilevel"/>
    <w:tmpl w:val="E04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65337"/>
    <w:multiLevelType w:val="hybridMultilevel"/>
    <w:tmpl w:val="D0528EB2"/>
    <w:lvl w:ilvl="0" w:tplc="5C0A5B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EC"/>
    <w:rsid w:val="000030E2"/>
    <w:rsid w:val="00024753"/>
    <w:rsid w:val="00027D4D"/>
    <w:rsid w:val="00044747"/>
    <w:rsid w:val="00046513"/>
    <w:rsid w:val="00052867"/>
    <w:rsid w:val="000559B0"/>
    <w:rsid w:val="00065830"/>
    <w:rsid w:val="00081333"/>
    <w:rsid w:val="000B138B"/>
    <w:rsid w:val="000C7C91"/>
    <w:rsid w:val="000D0F12"/>
    <w:rsid w:val="000E0270"/>
    <w:rsid w:val="000E13D7"/>
    <w:rsid w:val="000E348F"/>
    <w:rsid w:val="001003D7"/>
    <w:rsid w:val="0011782D"/>
    <w:rsid w:val="00124B6A"/>
    <w:rsid w:val="00134E6C"/>
    <w:rsid w:val="00155E37"/>
    <w:rsid w:val="00160B24"/>
    <w:rsid w:val="00183814"/>
    <w:rsid w:val="00185657"/>
    <w:rsid w:val="001A6DB2"/>
    <w:rsid w:val="001A7C62"/>
    <w:rsid w:val="001D5191"/>
    <w:rsid w:val="001E79E4"/>
    <w:rsid w:val="0021460C"/>
    <w:rsid w:val="00215DB1"/>
    <w:rsid w:val="00221015"/>
    <w:rsid w:val="002237E3"/>
    <w:rsid w:val="0023509F"/>
    <w:rsid w:val="00241812"/>
    <w:rsid w:val="00247E13"/>
    <w:rsid w:val="002654E9"/>
    <w:rsid w:val="00275E5F"/>
    <w:rsid w:val="002805C3"/>
    <w:rsid w:val="00287DD9"/>
    <w:rsid w:val="002938B6"/>
    <w:rsid w:val="002A018A"/>
    <w:rsid w:val="002B0AF1"/>
    <w:rsid w:val="002C238F"/>
    <w:rsid w:val="002C76CA"/>
    <w:rsid w:val="002D19F1"/>
    <w:rsid w:val="002D4AA3"/>
    <w:rsid w:val="002D6B0E"/>
    <w:rsid w:val="00311CA1"/>
    <w:rsid w:val="0031599A"/>
    <w:rsid w:val="00322D82"/>
    <w:rsid w:val="0032407C"/>
    <w:rsid w:val="00327A6E"/>
    <w:rsid w:val="0033528D"/>
    <w:rsid w:val="00337146"/>
    <w:rsid w:val="00345546"/>
    <w:rsid w:val="00363E85"/>
    <w:rsid w:val="00380A50"/>
    <w:rsid w:val="00387F5A"/>
    <w:rsid w:val="00393EFB"/>
    <w:rsid w:val="003B3D2E"/>
    <w:rsid w:val="003E06B7"/>
    <w:rsid w:val="003E196D"/>
    <w:rsid w:val="003E53C7"/>
    <w:rsid w:val="004164AB"/>
    <w:rsid w:val="00420278"/>
    <w:rsid w:val="00422889"/>
    <w:rsid w:val="00433135"/>
    <w:rsid w:val="00436658"/>
    <w:rsid w:val="0043786C"/>
    <w:rsid w:val="00440143"/>
    <w:rsid w:val="0044524D"/>
    <w:rsid w:val="00474820"/>
    <w:rsid w:val="004843DA"/>
    <w:rsid w:val="004B22FD"/>
    <w:rsid w:val="004B3C3D"/>
    <w:rsid w:val="004B684A"/>
    <w:rsid w:val="004C34D2"/>
    <w:rsid w:val="004D7DE3"/>
    <w:rsid w:val="004E5A4F"/>
    <w:rsid w:val="005057F7"/>
    <w:rsid w:val="0051543B"/>
    <w:rsid w:val="00521AD5"/>
    <w:rsid w:val="00522071"/>
    <w:rsid w:val="00537C7F"/>
    <w:rsid w:val="0054522A"/>
    <w:rsid w:val="00555D76"/>
    <w:rsid w:val="00556AFE"/>
    <w:rsid w:val="00561EBB"/>
    <w:rsid w:val="00572FFF"/>
    <w:rsid w:val="00573FA2"/>
    <w:rsid w:val="00593375"/>
    <w:rsid w:val="00593BD1"/>
    <w:rsid w:val="00594BAB"/>
    <w:rsid w:val="00595ED2"/>
    <w:rsid w:val="005A71A6"/>
    <w:rsid w:val="005B54A2"/>
    <w:rsid w:val="005D066F"/>
    <w:rsid w:val="00602301"/>
    <w:rsid w:val="0060257C"/>
    <w:rsid w:val="00603B93"/>
    <w:rsid w:val="00605525"/>
    <w:rsid w:val="0063659D"/>
    <w:rsid w:val="00636E1A"/>
    <w:rsid w:val="006371B9"/>
    <w:rsid w:val="00637686"/>
    <w:rsid w:val="00673219"/>
    <w:rsid w:val="006805BF"/>
    <w:rsid w:val="00683DE7"/>
    <w:rsid w:val="006A597F"/>
    <w:rsid w:val="006B00BB"/>
    <w:rsid w:val="006B1522"/>
    <w:rsid w:val="006C5EE7"/>
    <w:rsid w:val="006C6DE0"/>
    <w:rsid w:val="006E75BB"/>
    <w:rsid w:val="006F0944"/>
    <w:rsid w:val="00700C4E"/>
    <w:rsid w:val="007026BF"/>
    <w:rsid w:val="00703463"/>
    <w:rsid w:val="00736C72"/>
    <w:rsid w:val="00741080"/>
    <w:rsid w:val="00741316"/>
    <w:rsid w:val="00745F05"/>
    <w:rsid w:val="00750ADB"/>
    <w:rsid w:val="0075140A"/>
    <w:rsid w:val="00752120"/>
    <w:rsid w:val="007527B1"/>
    <w:rsid w:val="007556FF"/>
    <w:rsid w:val="00767840"/>
    <w:rsid w:val="0079297F"/>
    <w:rsid w:val="007A076B"/>
    <w:rsid w:val="007B17AE"/>
    <w:rsid w:val="007B1F6C"/>
    <w:rsid w:val="007B76AE"/>
    <w:rsid w:val="007E3D1C"/>
    <w:rsid w:val="007E4AEA"/>
    <w:rsid w:val="007F01B9"/>
    <w:rsid w:val="008009F2"/>
    <w:rsid w:val="00814FBE"/>
    <w:rsid w:val="0081523D"/>
    <w:rsid w:val="00816054"/>
    <w:rsid w:val="0082253F"/>
    <w:rsid w:val="00824092"/>
    <w:rsid w:val="00825CB3"/>
    <w:rsid w:val="008771C9"/>
    <w:rsid w:val="00884654"/>
    <w:rsid w:val="00895305"/>
    <w:rsid w:val="008A173C"/>
    <w:rsid w:val="008C5E12"/>
    <w:rsid w:val="008C712A"/>
    <w:rsid w:val="008D2048"/>
    <w:rsid w:val="008D2135"/>
    <w:rsid w:val="008D5D92"/>
    <w:rsid w:val="008E0E5A"/>
    <w:rsid w:val="008E3A1C"/>
    <w:rsid w:val="008E7146"/>
    <w:rsid w:val="008E7894"/>
    <w:rsid w:val="008F5012"/>
    <w:rsid w:val="00930158"/>
    <w:rsid w:val="00946EBD"/>
    <w:rsid w:val="00947C58"/>
    <w:rsid w:val="00957B37"/>
    <w:rsid w:val="009647ED"/>
    <w:rsid w:val="00984EA1"/>
    <w:rsid w:val="00994FD4"/>
    <w:rsid w:val="009B23BD"/>
    <w:rsid w:val="009E116A"/>
    <w:rsid w:val="00A040A5"/>
    <w:rsid w:val="00A059F2"/>
    <w:rsid w:val="00A213E9"/>
    <w:rsid w:val="00A235DB"/>
    <w:rsid w:val="00A25C0A"/>
    <w:rsid w:val="00A471D1"/>
    <w:rsid w:val="00A56C10"/>
    <w:rsid w:val="00A82DBB"/>
    <w:rsid w:val="00A83DE6"/>
    <w:rsid w:val="00A86A3D"/>
    <w:rsid w:val="00A949D2"/>
    <w:rsid w:val="00A95037"/>
    <w:rsid w:val="00AA058F"/>
    <w:rsid w:val="00AD1571"/>
    <w:rsid w:val="00AD18C8"/>
    <w:rsid w:val="00AD4924"/>
    <w:rsid w:val="00AD7E84"/>
    <w:rsid w:val="00AE6AAC"/>
    <w:rsid w:val="00AF2CF3"/>
    <w:rsid w:val="00AF507B"/>
    <w:rsid w:val="00B15DFB"/>
    <w:rsid w:val="00B169F6"/>
    <w:rsid w:val="00B3264A"/>
    <w:rsid w:val="00B66867"/>
    <w:rsid w:val="00BA3D5E"/>
    <w:rsid w:val="00BB7DE4"/>
    <w:rsid w:val="00BC3F2A"/>
    <w:rsid w:val="00BE675B"/>
    <w:rsid w:val="00C07A48"/>
    <w:rsid w:val="00C178F8"/>
    <w:rsid w:val="00C231AA"/>
    <w:rsid w:val="00C31DA0"/>
    <w:rsid w:val="00C35092"/>
    <w:rsid w:val="00C408F9"/>
    <w:rsid w:val="00C678E5"/>
    <w:rsid w:val="00C72C30"/>
    <w:rsid w:val="00C73504"/>
    <w:rsid w:val="00C73DA3"/>
    <w:rsid w:val="00C823A2"/>
    <w:rsid w:val="00C8770B"/>
    <w:rsid w:val="00CA3DAB"/>
    <w:rsid w:val="00CB6BE8"/>
    <w:rsid w:val="00CD2CA1"/>
    <w:rsid w:val="00CE3F10"/>
    <w:rsid w:val="00CE3FFF"/>
    <w:rsid w:val="00D0202F"/>
    <w:rsid w:val="00D047D9"/>
    <w:rsid w:val="00D10ED8"/>
    <w:rsid w:val="00D21E81"/>
    <w:rsid w:val="00D23BDE"/>
    <w:rsid w:val="00D27AF2"/>
    <w:rsid w:val="00D3246B"/>
    <w:rsid w:val="00D33BDC"/>
    <w:rsid w:val="00D37501"/>
    <w:rsid w:val="00D42488"/>
    <w:rsid w:val="00D4483B"/>
    <w:rsid w:val="00D47D90"/>
    <w:rsid w:val="00D50759"/>
    <w:rsid w:val="00D573A2"/>
    <w:rsid w:val="00D6443F"/>
    <w:rsid w:val="00D87253"/>
    <w:rsid w:val="00D9551C"/>
    <w:rsid w:val="00D95C56"/>
    <w:rsid w:val="00D96B80"/>
    <w:rsid w:val="00DB0B85"/>
    <w:rsid w:val="00DB5ED3"/>
    <w:rsid w:val="00DC59C7"/>
    <w:rsid w:val="00DD4694"/>
    <w:rsid w:val="00DE336B"/>
    <w:rsid w:val="00E0393A"/>
    <w:rsid w:val="00E363E9"/>
    <w:rsid w:val="00E37FD6"/>
    <w:rsid w:val="00E43AAF"/>
    <w:rsid w:val="00E4554C"/>
    <w:rsid w:val="00E5130D"/>
    <w:rsid w:val="00E51BA2"/>
    <w:rsid w:val="00E53F48"/>
    <w:rsid w:val="00E554BB"/>
    <w:rsid w:val="00E75521"/>
    <w:rsid w:val="00E80FA3"/>
    <w:rsid w:val="00E949EE"/>
    <w:rsid w:val="00E9668D"/>
    <w:rsid w:val="00EA2D2A"/>
    <w:rsid w:val="00EA2D9B"/>
    <w:rsid w:val="00EA301D"/>
    <w:rsid w:val="00EB1325"/>
    <w:rsid w:val="00ED2961"/>
    <w:rsid w:val="00ED6DFE"/>
    <w:rsid w:val="00ED7F64"/>
    <w:rsid w:val="00EE6051"/>
    <w:rsid w:val="00EF0430"/>
    <w:rsid w:val="00F005E0"/>
    <w:rsid w:val="00F0076E"/>
    <w:rsid w:val="00F00A38"/>
    <w:rsid w:val="00F03DD0"/>
    <w:rsid w:val="00F1635D"/>
    <w:rsid w:val="00F2126A"/>
    <w:rsid w:val="00F25F63"/>
    <w:rsid w:val="00F34682"/>
    <w:rsid w:val="00F34F4A"/>
    <w:rsid w:val="00F35FA1"/>
    <w:rsid w:val="00F47925"/>
    <w:rsid w:val="00F535C1"/>
    <w:rsid w:val="00F53D37"/>
    <w:rsid w:val="00F54A15"/>
    <w:rsid w:val="00F6497A"/>
    <w:rsid w:val="00F700EE"/>
    <w:rsid w:val="00F85FF6"/>
    <w:rsid w:val="00FA4116"/>
    <w:rsid w:val="00FA4158"/>
    <w:rsid w:val="00FB3DEC"/>
    <w:rsid w:val="00FC296E"/>
    <w:rsid w:val="00FC7EBD"/>
    <w:rsid w:val="00FD190C"/>
    <w:rsid w:val="00FD53EB"/>
    <w:rsid w:val="00FE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1D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DEC"/>
    <w:rPr>
      <w:b/>
      <w:bCs/>
    </w:rPr>
  </w:style>
  <w:style w:type="character" w:styleId="Emphasis">
    <w:name w:val="Emphasis"/>
    <w:basedOn w:val="DefaultParagraphFont"/>
    <w:uiPriority w:val="20"/>
    <w:qFormat/>
    <w:rsid w:val="00FB3DEC"/>
    <w:rPr>
      <w:i/>
      <w:iCs/>
    </w:rPr>
  </w:style>
  <w:style w:type="character" w:customStyle="1" w:styleId="apple-converted-space">
    <w:name w:val="apple-converted-space"/>
    <w:basedOn w:val="DefaultParagraphFont"/>
    <w:rsid w:val="00FB3DEC"/>
  </w:style>
  <w:style w:type="paragraph" w:styleId="ListParagraph">
    <w:name w:val="List Paragraph"/>
    <w:basedOn w:val="Normal"/>
    <w:uiPriority w:val="34"/>
    <w:qFormat/>
    <w:rsid w:val="00CE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6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6C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3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3DEC"/>
    <w:rPr>
      <w:b/>
      <w:bCs/>
    </w:rPr>
  </w:style>
  <w:style w:type="character" w:styleId="Emphasis">
    <w:name w:val="Emphasis"/>
    <w:basedOn w:val="DefaultParagraphFont"/>
    <w:uiPriority w:val="20"/>
    <w:qFormat/>
    <w:rsid w:val="00FB3DEC"/>
    <w:rPr>
      <w:i/>
      <w:iCs/>
    </w:rPr>
  </w:style>
  <w:style w:type="character" w:customStyle="1" w:styleId="apple-converted-space">
    <w:name w:val="apple-converted-space"/>
    <w:basedOn w:val="DefaultParagraphFont"/>
    <w:rsid w:val="00FB3DEC"/>
  </w:style>
  <w:style w:type="paragraph" w:styleId="ListParagraph">
    <w:name w:val="List Paragraph"/>
    <w:basedOn w:val="Normal"/>
    <w:uiPriority w:val="34"/>
    <w:qFormat/>
    <w:rsid w:val="00CE3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F6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F6C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5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vapolicy.virginia.edu/policy/PROV-0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 Library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Weimer, Keith (kw6m)</dc:creator>
  <cp:lastModifiedBy>Weimer, Keith (kw6m)</cp:lastModifiedBy>
  <cp:revision>2</cp:revision>
  <dcterms:created xsi:type="dcterms:W3CDTF">2017-03-14T14:29:00Z</dcterms:created>
  <dcterms:modified xsi:type="dcterms:W3CDTF">2017-03-14T14:29:00Z</dcterms:modified>
</cp:coreProperties>
</file>